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B52B30" w:rsidP="00B97704">
      <w:pPr>
        <w:jc w:val="center"/>
        <w:rPr>
          <w:rFonts w:ascii="Palatino" w:hAnsi="Palatino"/>
        </w:rPr>
      </w:pPr>
      <w:r>
        <w:t>February 1</w:t>
      </w:r>
      <w:r w:rsidR="00B97704">
        <w:t>, 201</w:t>
      </w:r>
      <w:r>
        <w:t>7</w:t>
      </w:r>
      <w:r w:rsidR="00B97704">
        <w:t>, GBB 202</w:t>
      </w:r>
      <w:r w:rsidR="00B97704" w:rsidRPr="00190EB1">
        <w:t>, 12:</w:t>
      </w:r>
      <w:r w:rsidR="008E73FB">
        <w:t>0</w:t>
      </w:r>
      <w:r w:rsidR="00B97704" w:rsidRPr="00190EB1">
        <w:t>0 – 1:00 PM</w:t>
      </w:r>
      <w:r w:rsidR="00B97704">
        <w:br/>
      </w:r>
    </w:p>
    <w:p w:rsidR="00B52B30" w:rsidRDefault="00B97704" w:rsidP="00B97704">
      <w:pPr>
        <w:rPr>
          <w:rFonts w:cs="Calibri"/>
          <w:sz w:val="24"/>
          <w:szCs w:val="24"/>
        </w:rPr>
      </w:pPr>
      <w:r>
        <w:rPr>
          <w:rFonts w:cs="Calibri"/>
          <w:i/>
          <w:sz w:val="24"/>
          <w:szCs w:val="24"/>
        </w:rPr>
        <w:t>Members Present:</w:t>
      </w:r>
      <w:r>
        <w:rPr>
          <w:rFonts w:cs="Calibri"/>
          <w:sz w:val="24"/>
          <w:szCs w:val="24"/>
        </w:rPr>
        <w:t xml:space="preserve">  L. Broberg, F. Brown, </w:t>
      </w:r>
      <w:r w:rsidR="005154DB">
        <w:rPr>
          <w:rFonts w:cs="Calibri"/>
          <w:sz w:val="24"/>
          <w:szCs w:val="24"/>
        </w:rPr>
        <w:t>J. Farnsworth,</w:t>
      </w:r>
      <w:r w:rsidR="00A22525">
        <w:rPr>
          <w:rFonts w:cs="Calibri"/>
          <w:sz w:val="24"/>
          <w:szCs w:val="24"/>
        </w:rPr>
        <w:t xml:space="preserve"> </w:t>
      </w:r>
      <w:r w:rsidR="007E274E">
        <w:rPr>
          <w:rFonts w:cs="Calibri"/>
          <w:sz w:val="24"/>
          <w:szCs w:val="24"/>
        </w:rPr>
        <w:t xml:space="preserve">L. Frey, </w:t>
      </w:r>
      <w:r w:rsidR="00B52B30">
        <w:rPr>
          <w:rFonts w:cs="Calibri"/>
          <w:sz w:val="24"/>
          <w:szCs w:val="24"/>
        </w:rPr>
        <w:t xml:space="preserve">G. Lind,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B52B30">
        <w:rPr>
          <w:rFonts w:cs="Calibri"/>
          <w:sz w:val="24"/>
          <w:szCs w:val="24"/>
        </w:rPr>
        <w:t>C. Palmer</w:t>
      </w:r>
      <w:r w:rsidR="00B52B30" w:rsidRPr="007C0EF1">
        <w:rPr>
          <w:rFonts w:cs="Calibri"/>
          <w:sz w:val="24"/>
          <w:szCs w:val="24"/>
        </w:rPr>
        <w:t xml:space="preserve"> </w:t>
      </w:r>
      <w:r w:rsidR="009E4F50">
        <w:rPr>
          <w:rFonts w:cs="Calibri"/>
          <w:sz w:val="24"/>
          <w:szCs w:val="24"/>
        </w:rPr>
        <w:t>S. Ross,</w:t>
      </w:r>
      <w:r w:rsidR="009E4F50" w:rsidRPr="005154DB">
        <w:rPr>
          <w:rFonts w:cs="Calibri"/>
          <w:sz w:val="24"/>
          <w:szCs w:val="24"/>
        </w:rPr>
        <w:t xml:space="preserve"> </w:t>
      </w:r>
      <w:r w:rsidR="005722FD">
        <w:rPr>
          <w:rFonts w:cs="Calibri"/>
          <w:sz w:val="24"/>
          <w:szCs w:val="24"/>
        </w:rPr>
        <w:t xml:space="preserve">D. </w:t>
      </w:r>
      <w:r w:rsidR="005722FD">
        <w:rPr>
          <w:color w:val="000000"/>
        </w:rPr>
        <w:t>Schuldberg</w:t>
      </w:r>
      <w:r w:rsidR="00F46CBD">
        <w:rPr>
          <w:rFonts w:cs="Calibri"/>
          <w:sz w:val="24"/>
          <w:szCs w:val="24"/>
        </w:rPr>
        <w:t xml:space="preserve"> </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 xml:space="preserve">N. Lindsay, </w:t>
      </w:r>
      <w:r w:rsidR="00B52B30">
        <w:rPr>
          <w:rFonts w:cs="Calibri"/>
          <w:sz w:val="24"/>
          <w:szCs w:val="24"/>
        </w:rPr>
        <w:t>S. Whittenburg</w:t>
      </w:r>
    </w:p>
    <w:p w:rsidR="00B97704" w:rsidRDefault="00B97704" w:rsidP="00B97704">
      <w:r>
        <w:rPr>
          <w:rFonts w:cs="Calibri"/>
          <w:i/>
          <w:sz w:val="24"/>
          <w:szCs w:val="24"/>
        </w:rPr>
        <w:t>Members Absent/Excused:</w:t>
      </w:r>
      <w:r w:rsidR="005154DB">
        <w:rPr>
          <w:rFonts w:cs="Calibri"/>
          <w:sz w:val="24"/>
          <w:szCs w:val="24"/>
        </w:rPr>
        <w:t xml:space="preserve"> </w:t>
      </w:r>
      <w:r w:rsidR="00B52B30">
        <w:rPr>
          <w:rFonts w:cs="Calibri"/>
          <w:sz w:val="24"/>
          <w:szCs w:val="24"/>
        </w:rPr>
        <w:t xml:space="preserve">C. Dumke, </w:t>
      </w:r>
      <w:r w:rsidR="007C0EF1">
        <w:rPr>
          <w:rFonts w:cs="Calibri"/>
          <w:sz w:val="24"/>
          <w:szCs w:val="24"/>
        </w:rPr>
        <w:t xml:space="preserve">L. Economides, </w:t>
      </w:r>
      <w:r w:rsidR="00B52B30">
        <w:rPr>
          <w:rFonts w:cs="Calibri"/>
          <w:sz w:val="24"/>
          <w:szCs w:val="24"/>
        </w:rPr>
        <w:t>K. Harris, M. Murphy, K. Swift</w:t>
      </w:r>
      <w:r w:rsidR="007C0EF1">
        <w:rPr>
          <w:rFonts w:cs="Calibri"/>
          <w:sz w:val="24"/>
          <w:szCs w:val="24"/>
        </w:rPr>
        <w:br/>
      </w:r>
      <w:r w:rsidR="008736C5">
        <w:rPr>
          <w:rFonts w:cs="Calibri"/>
          <w:sz w:val="24"/>
          <w:szCs w:val="24"/>
        </w:rPr>
        <w:br/>
      </w:r>
      <w:r w:rsidRPr="00962530">
        <w:rPr>
          <w:rStyle w:val="Heading2Char"/>
          <w:rFonts w:eastAsiaTheme="minorHAnsi"/>
        </w:rPr>
        <w:t>Call to Order</w:t>
      </w:r>
    </w:p>
    <w:p w:rsidR="00B97704" w:rsidRPr="000D0439" w:rsidRDefault="007E274E" w:rsidP="000D0439">
      <w:pPr>
        <w:pStyle w:val="ListParagraph"/>
        <w:numPr>
          <w:ilvl w:val="0"/>
          <w:numId w:val="8"/>
        </w:numPr>
        <w:rPr>
          <w:b/>
        </w:rPr>
      </w:pPr>
      <w:r>
        <w:t>The minutes from 1</w:t>
      </w:r>
      <w:r w:rsidR="00B52B30">
        <w:t>2</w:t>
      </w:r>
      <w:r>
        <w:t>/</w:t>
      </w:r>
      <w:r w:rsidR="00B52B30">
        <w:t>7</w:t>
      </w:r>
      <w:r>
        <w:t>/16 were approved</w:t>
      </w:r>
      <w:r w:rsidR="005154DB">
        <w:t xml:space="preserve">. </w:t>
      </w:r>
      <w:r w:rsidR="008C3D54">
        <w:t xml:space="preserve"> </w:t>
      </w:r>
    </w:p>
    <w:p w:rsidR="00B97704" w:rsidRDefault="00B97704" w:rsidP="00B97704">
      <w:pPr>
        <w:pStyle w:val="Heading2"/>
      </w:pPr>
      <w:r>
        <w:t>Communications</w:t>
      </w:r>
    </w:p>
    <w:p w:rsidR="000D0439" w:rsidRDefault="000D0439" w:rsidP="000D0439">
      <w:pPr>
        <w:pStyle w:val="PlainText"/>
      </w:pPr>
    </w:p>
    <w:p w:rsidR="00B52B30" w:rsidRDefault="0097476C" w:rsidP="001320CA">
      <w:pPr>
        <w:pStyle w:val="PlainText"/>
        <w:numPr>
          <w:ilvl w:val="0"/>
          <w:numId w:val="8"/>
        </w:numPr>
      </w:pPr>
      <w:r>
        <w:t xml:space="preserve">Vice President Whittenburg </w:t>
      </w:r>
      <w:r w:rsidR="00B52B30">
        <w:t xml:space="preserve">reported that the Graduate School has filled the Graduate Admission Position. Brittany worked in the office as a student employee so the transition is going well. </w:t>
      </w:r>
      <w:r w:rsidR="00B52B30">
        <w:br/>
      </w:r>
    </w:p>
    <w:p w:rsidR="00B52B30" w:rsidRDefault="00B52B30" w:rsidP="001320CA">
      <w:pPr>
        <w:pStyle w:val="PlainText"/>
        <w:numPr>
          <w:ilvl w:val="0"/>
          <w:numId w:val="8"/>
        </w:numPr>
      </w:pPr>
      <w:r>
        <w:t>The Graduate School is currently preparing the paperwork to establish a new M</w:t>
      </w:r>
      <w:r w:rsidR="00E964D8">
        <w:t>S or MA of Interdisciplinary Studies</w:t>
      </w:r>
      <w:r>
        <w:t xml:space="preserve">.  The request for the paperwork was triggered by the request to change the title of the existing </w:t>
      </w:r>
      <w:proofErr w:type="spellStart"/>
      <w:r w:rsidR="00E964D8">
        <w:t>Master’s</w:t>
      </w:r>
      <w:proofErr w:type="spellEnd"/>
      <w:r w:rsidR="00E964D8">
        <w:t xml:space="preserve"> of Interdisciplinary Studies</w:t>
      </w:r>
      <w:r>
        <w:t xml:space="preserve">.  </w:t>
      </w:r>
      <w:r>
        <w:br/>
      </w:r>
    </w:p>
    <w:p w:rsidR="00B52B30" w:rsidRDefault="00B52B30" w:rsidP="001320CA">
      <w:pPr>
        <w:pStyle w:val="PlainText"/>
        <w:numPr>
          <w:ilvl w:val="0"/>
          <w:numId w:val="8"/>
        </w:numPr>
      </w:pPr>
      <w:r>
        <w:t xml:space="preserve">A decision has been made regarding the Graduate School Associate Dean position.  Interim President Stearns asked that the Director of the UM Press be retained separate from the President or Academic Affairs Office budgets.  Thus these responsibilities will be folded into the Associate Dean Position which is essentially equivalent to a one course buy out for each semester and extra comp in the summer.  This person will represent the Graduate School on Graduate Council. </w:t>
      </w:r>
      <w:r w:rsidR="00E964D8">
        <w:t xml:space="preserve"> The person selected was Professor Ashby Kinch. </w:t>
      </w:r>
      <w:r>
        <w:br/>
      </w:r>
    </w:p>
    <w:p w:rsidR="00B52B30" w:rsidRDefault="00B52B30" w:rsidP="00B52B30">
      <w:pPr>
        <w:pStyle w:val="PlainText"/>
        <w:numPr>
          <w:ilvl w:val="0"/>
          <w:numId w:val="8"/>
        </w:numPr>
      </w:pPr>
      <w:r>
        <w:t xml:space="preserve">The following programs are scheduled for program review this year.   Camie will notify the subcommittees when materials are available for review.  The external reviewer for English is here this week and Social Work’s external review visit is scheduled for next week. </w:t>
      </w:r>
      <w:r>
        <w:br/>
      </w:r>
    </w:p>
    <w:p w:rsidR="00B52B30" w:rsidRPr="00B52B30" w:rsidRDefault="00B52B30" w:rsidP="00B52B30">
      <w:pPr>
        <w:pStyle w:val="ListParagraph"/>
        <w:numPr>
          <w:ilvl w:val="1"/>
          <w:numId w:val="8"/>
        </w:numPr>
        <w:rPr>
          <w:rFonts w:eastAsia="Calibri"/>
        </w:rPr>
      </w:pPr>
      <w:r w:rsidRPr="00B813FF">
        <w:t xml:space="preserve">SOBA: Accounting &amp; Finance, Marketing &amp; Management [ Accredited]  (Professional Schools)  </w:t>
      </w:r>
    </w:p>
    <w:p w:rsidR="00B52B30" w:rsidRPr="00B52B30" w:rsidRDefault="00B52B30" w:rsidP="00B52B30">
      <w:pPr>
        <w:pStyle w:val="ListParagraph"/>
        <w:numPr>
          <w:ilvl w:val="1"/>
          <w:numId w:val="8"/>
        </w:numPr>
        <w:rPr>
          <w:rFonts w:eastAsia="Calibri"/>
        </w:rPr>
      </w:pPr>
      <w:r w:rsidRPr="00B813FF">
        <w:t>English (Humanities)</w:t>
      </w:r>
    </w:p>
    <w:p w:rsidR="00B52B30" w:rsidRPr="00B52B30" w:rsidRDefault="00B52B30" w:rsidP="00B52B30">
      <w:pPr>
        <w:pStyle w:val="ListParagraph"/>
        <w:numPr>
          <w:ilvl w:val="1"/>
          <w:numId w:val="8"/>
        </w:numPr>
        <w:rPr>
          <w:rFonts w:eastAsia="Calibri"/>
        </w:rPr>
      </w:pPr>
      <w:r w:rsidRPr="00B813FF">
        <w:t xml:space="preserve"> Communicative Sciences and Disorders (Science)</w:t>
      </w:r>
    </w:p>
    <w:p w:rsidR="00B52B30" w:rsidRPr="00B813FF" w:rsidRDefault="00B52B30" w:rsidP="00B52B30">
      <w:pPr>
        <w:pStyle w:val="ListParagraph"/>
        <w:numPr>
          <w:ilvl w:val="1"/>
          <w:numId w:val="8"/>
        </w:numPr>
      </w:pPr>
      <w:r w:rsidRPr="00B813FF">
        <w:t>Law(Professional Schools)</w:t>
      </w:r>
    </w:p>
    <w:p w:rsidR="00B52B30" w:rsidRPr="00B813FF" w:rsidRDefault="00B52B30" w:rsidP="00B52B30">
      <w:pPr>
        <w:pStyle w:val="ListParagraph"/>
        <w:numPr>
          <w:ilvl w:val="1"/>
          <w:numId w:val="8"/>
        </w:numPr>
      </w:pPr>
      <w:r w:rsidRPr="00B813FF">
        <w:t xml:space="preserve">Philosophy (Humanities) </w:t>
      </w:r>
    </w:p>
    <w:p w:rsidR="00B52B30" w:rsidRPr="00B52B30" w:rsidRDefault="00B52B30" w:rsidP="00B52B30">
      <w:pPr>
        <w:pStyle w:val="ListParagraph"/>
        <w:numPr>
          <w:ilvl w:val="1"/>
          <w:numId w:val="8"/>
        </w:numPr>
        <w:rPr>
          <w:rFonts w:eastAsia="Calibri"/>
        </w:rPr>
      </w:pPr>
      <w:r w:rsidRPr="00B813FF">
        <w:t>Social Work (Social Science)</w:t>
      </w:r>
    </w:p>
    <w:p w:rsidR="00B52B30" w:rsidRPr="00B52B30" w:rsidRDefault="00B52B30" w:rsidP="00B52B30">
      <w:pPr>
        <w:pStyle w:val="ListParagraph"/>
        <w:numPr>
          <w:ilvl w:val="1"/>
          <w:numId w:val="8"/>
        </w:numPr>
        <w:rPr>
          <w:rFonts w:eastAsia="Calibri"/>
        </w:rPr>
      </w:pPr>
      <w:r w:rsidRPr="00B813FF">
        <w:lastRenderedPageBreak/>
        <w:t>Theatre and Dance (Professional Schools )</w:t>
      </w:r>
      <w:r w:rsidRPr="00B813FF">
        <w:br/>
      </w:r>
    </w:p>
    <w:p w:rsidR="001320CA" w:rsidRDefault="00B52B30" w:rsidP="007E5E4E">
      <w:pPr>
        <w:pStyle w:val="PlainText"/>
        <w:ind w:left="720"/>
      </w:pPr>
      <w:r>
        <w:br/>
      </w:r>
    </w:p>
    <w:p w:rsidR="001320CA" w:rsidRDefault="001320CA" w:rsidP="005237C5">
      <w:pPr>
        <w:pStyle w:val="Heading2"/>
      </w:pPr>
      <w:r>
        <w:t>Business Items</w:t>
      </w:r>
    </w:p>
    <w:p w:rsidR="001320CA" w:rsidRDefault="001320CA" w:rsidP="001320CA">
      <w:pPr>
        <w:pStyle w:val="ListParagraph"/>
        <w:numPr>
          <w:ilvl w:val="0"/>
          <w:numId w:val="8"/>
        </w:numPr>
      </w:pPr>
      <w:r>
        <w:t xml:space="preserve">The </w:t>
      </w:r>
      <w:r w:rsidR="00B52B30">
        <w:t xml:space="preserve">following Social </w:t>
      </w:r>
      <w:r w:rsidR="0097476C">
        <w:t>Science Curricular Items</w:t>
      </w:r>
      <w:r>
        <w:t xml:space="preserve"> were approved. </w:t>
      </w:r>
      <w:r w:rsidR="00B52B30">
        <w:t xml:space="preserve">  There were a few other items on the pending list that Camie will research. </w:t>
      </w:r>
    </w:p>
    <w:p w:rsidR="00B52B30" w:rsidRDefault="0045770D" w:rsidP="00B52B30">
      <w:pPr>
        <w:pStyle w:val="Heading2"/>
      </w:pPr>
      <w:r>
        <w:br/>
      </w:r>
      <w:r w:rsidR="00B52B30">
        <w:t>College of Education and Human Science</w:t>
      </w:r>
    </w:p>
    <w:tbl>
      <w:tblPr>
        <w:tblW w:w="9025" w:type="dxa"/>
        <w:tblInd w:w="378" w:type="dxa"/>
        <w:tblLook w:val="04A0" w:firstRow="1" w:lastRow="0" w:firstColumn="1" w:lastColumn="0" w:noHBand="0" w:noVBand="1"/>
      </w:tblPr>
      <w:tblGrid>
        <w:gridCol w:w="2250"/>
        <w:gridCol w:w="2695"/>
        <w:gridCol w:w="4080"/>
      </w:tblGrid>
      <w:tr w:rsidR="00B52B30" w:rsidTr="00B52B30">
        <w:trPr>
          <w:trHeight w:val="300"/>
        </w:trPr>
        <w:tc>
          <w:tcPr>
            <w:tcW w:w="9025" w:type="dxa"/>
            <w:gridSpan w:val="3"/>
            <w:tcBorders>
              <w:top w:val="single" w:sz="4" w:space="0" w:color="000000"/>
              <w:left w:val="single" w:sz="4" w:space="0" w:color="000000"/>
              <w:bottom w:val="single" w:sz="4" w:space="0" w:color="000000"/>
              <w:right w:val="single" w:sz="4" w:space="0" w:color="000000"/>
            </w:tcBorders>
            <w:vAlign w:val="center"/>
            <w:hideMark/>
          </w:tcPr>
          <w:p w:rsidR="00B52B30" w:rsidRDefault="00B52B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Communicative Sciences &amp; Disorders</w:t>
            </w:r>
          </w:p>
        </w:tc>
      </w:tr>
      <w:tr w:rsidR="00B52B30" w:rsidTr="00B52B30">
        <w:trPr>
          <w:trHeight w:val="300"/>
        </w:trPr>
        <w:tc>
          <w:tcPr>
            <w:tcW w:w="225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52B30" w:rsidRDefault="00E964D8">
            <w:pPr>
              <w:rPr>
                <w:rFonts w:ascii="Calibri" w:hAnsi="Calibri"/>
                <w:color w:val="0000FF"/>
                <w:u w:val="single"/>
              </w:rPr>
            </w:pPr>
            <w:hyperlink r:id="rId6" w:history="1">
              <w:r w:rsidR="00B52B30">
                <w:rPr>
                  <w:rStyle w:val="Hyperlink"/>
                  <w:rFonts w:ascii="Calibri" w:hAnsi="Calibri"/>
                </w:rPr>
                <w:t>CSD 545 UG</w:t>
              </w:r>
            </w:hyperlink>
          </w:p>
        </w:tc>
        <w:tc>
          <w:tcPr>
            <w:tcW w:w="2695" w:type="dxa"/>
            <w:tcBorders>
              <w:top w:val="nil"/>
              <w:left w:val="nil"/>
              <w:bottom w:val="single" w:sz="4" w:space="0" w:color="000000"/>
              <w:right w:val="single" w:sz="4" w:space="0" w:color="000000"/>
            </w:tcBorders>
            <w:shd w:val="clear" w:color="auto" w:fill="FFFFFF" w:themeFill="background1"/>
            <w:vAlign w:val="center"/>
            <w:hideMark/>
          </w:tcPr>
          <w:p w:rsidR="00B52B30" w:rsidRDefault="00B52B30">
            <w:pPr>
              <w:rPr>
                <w:rFonts w:ascii="Calibri" w:hAnsi="Calibri"/>
                <w:color w:val="000000"/>
              </w:rPr>
            </w:pPr>
            <w:r>
              <w:rPr>
                <w:rFonts w:ascii="Calibri" w:hAnsi="Calibri"/>
                <w:color w:val="000000"/>
              </w:rPr>
              <w:t>Autism/Complex Communication</w:t>
            </w:r>
          </w:p>
        </w:tc>
        <w:tc>
          <w:tcPr>
            <w:tcW w:w="4080" w:type="dxa"/>
            <w:tcBorders>
              <w:top w:val="nil"/>
              <w:left w:val="nil"/>
              <w:bottom w:val="single" w:sz="4" w:space="0" w:color="000000"/>
              <w:right w:val="single" w:sz="4" w:space="0" w:color="000000"/>
            </w:tcBorders>
            <w:shd w:val="clear" w:color="auto" w:fill="FFFFFF" w:themeFill="background1"/>
            <w:vAlign w:val="center"/>
            <w:hideMark/>
          </w:tcPr>
          <w:p w:rsidR="00B52B30" w:rsidRDefault="00B52B30">
            <w:pPr>
              <w:rPr>
                <w:rFonts w:ascii="Calibri" w:hAnsi="Calibri"/>
                <w:color w:val="000000"/>
              </w:rPr>
            </w:pPr>
            <w:r>
              <w:rPr>
                <w:rFonts w:ascii="Calibri" w:hAnsi="Calibri"/>
                <w:color w:val="000000"/>
              </w:rPr>
              <w:t>Change credits, description, repeatability, title</w:t>
            </w:r>
          </w:p>
        </w:tc>
      </w:tr>
      <w:tr w:rsidR="00B52B30" w:rsidTr="00B52B30">
        <w:trPr>
          <w:trHeight w:val="300"/>
        </w:trPr>
        <w:tc>
          <w:tcPr>
            <w:tcW w:w="225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52B30" w:rsidRDefault="00E964D8">
            <w:pPr>
              <w:spacing w:after="0" w:line="240" w:lineRule="auto"/>
              <w:rPr>
                <w:rFonts w:ascii="Calibri" w:eastAsia="Times New Roman" w:hAnsi="Calibri" w:cs="Times New Roman"/>
                <w:color w:val="0000FF"/>
                <w:u w:val="single"/>
              </w:rPr>
            </w:pPr>
            <w:hyperlink r:id="rId7" w:history="1">
              <w:r w:rsidR="00B52B30">
                <w:rPr>
                  <w:rStyle w:val="Hyperlink"/>
                  <w:rFonts w:ascii="Calibri" w:hAnsi="Calibri"/>
                </w:rPr>
                <w:t>CSD 566 UG</w:t>
              </w:r>
            </w:hyperlink>
          </w:p>
        </w:tc>
        <w:tc>
          <w:tcPr>
            <w:tcW w:w="2695" w:type="dxa"/>
            <w:tcBorders>
              <w:top w:val="nil"/>
              <w:left w:val="nil"/>
              <w:bottom w:val="single" w:sz="4" w:space="0" w:color="000000"/>
              <w:right w:val="single" w:sz="4" w:space="0" w:color="000000"/>
            </w:tcBorders>
            <w:shd w:val="clear" w:color="auto" w:fill="FFFFFF" w:themeFill="background1"/>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Acquired Cog-Com Disorders</w:t>
            </w:r>
          </w:p>
        </w:tc>
        <w:tc>
          <w:tcPr>
            <w:tcW w:w="4080" w:type="dxa"/>
            <w:tcBorders>
              <w:top w:val="nil"/>
              <w:left w:val="nil"/>
              <w:bottom w:val="single" w:sz="4" w:space="0" w:color="000000"/>
              <w:right w:val="single" w:sz="4" w:space="0" w:color="000000"/>
            </w:tcBorders>
            <w:shd w:val="clear" w:color="auto" w:fill="FFFFFF" w:themeFill="background1"/>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w:t>
            </w:r>
            <w:proofErr w:type="spellStart"/>
            <w:r>
              <w:rPr>
                <w:rFonts w:ascii="Calibri" w:eastAsia="Times New Roman" w:hAnsi="Calibri" w:cs="Times New Roman"/>
                <w:color w:val="000000"/>
              </w:rPr>
              <w:t>prereqs</w:t>
            </w:r>
            <w:proofErr w:type="spellEnd"/>
          </w:p>
        </w:tc>
      </w:tr>
      <w:tr w:rsidR="00B52B30" w:rsidTr="00B52B30">
        <w:trPr>
          <w:trHeight w:val="600"/>
        </w:trPr>
        <w:tc>
          <w:tcPr>
            <w:tcW w:w="2250"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B52B30" w:rsidRDefault="00B52B30">
            <w:pPr>
              <w:rPr>
                <w:rFonts w:ascii="Calibri" w:hAnsi="Calibri"/>
                <w:color w:val="000000"/>
              </w:rPr>
            </w:pPr>
            <w:r>
              <w:rPr>
                <w:rFonts w:ascii="Calibri" w:hAnsi="Calibri"/>
                <w:color w:val="000000"/>
              </w:rPr>
              <w:t>Program Modification</w:t>
            </w:r>
          </w:p>
        </w:tc>
        <w:tc>
          <w:tcPr>
            <w:tcW w:w="2695" w:type="dxa"/>
            <w:tcBorders>
              <w:top w:val="nil"/>
              <w:left w:val="nil"/>
              <w:bottom w:val="single" w:sz="4" w:space="0" w:color="000000"/>
              <w:right w:val="single" w:sz="4" w:space="0" w:color="000000"/>
            </w:tcBorders>
            <w:shd w:val="clear" w:color="auto" w:fill="FFFFFF" w:themeFill="background1"/>
            <w:vAlign w:val="bottom"/>
          </w:tcPr>
          <w:p w:rsidR="00B52B30" w:rsidRDefault="00B52B30">
            <w:pPr>
              <w:rPr>
                <w:rFonts w:ascii="Calibri" w:hAnsi="Calibri"/>
                <w:color w:val="000000"/>
              </w:rPr>
            </w:pPr>
          </w:p>
        </w:tc>
        <w:tc>
          <w:tcPr>
            <w:tcW w:w="4080" w:type="dxa"/>
            <w:tcBorders>
              <w:top w:val="nil"/>
              <w:left w:val="nil"/>
              <w:bottom w:val="single" w:sz="4" w:space="0" w:color="000000"/>
              <w:right w:val="single" w:sz="4" w:space="0" w:color="000000"/>
            </w:tcBorders>
            <w:shd w:val="clear" w:color="auto" w:fill="FFFFFF" w:themeFill="background1"/>
            <w:vAlign w:val="bottom"/>
            <w:hideMark/>
          </w:tcPr>
          <w:p w:rsidR="00B52B30" w:rsidRDefault="00B52B30">
            <w:pPr>
              <w:rPr>
                <w:rFonts w:ascii="Calibri" w:hAnsi="Calibri"/>
                <w:color w:val="000000"/>
              </w:rPr>
            </w:pPr>
            <w:r>
              <w:rPr>
                <w:rFonts w:ascii="Calibri" w:hAnsi="Calibri"/>
                <w:color w:val="000000"/>
              </w:rPr>
              <w:t>Update requirement to reflect change in CSD 545</w:t>
            </w:r>
          </w:p>
        </w:tc>
      </w:tr>
      <w:tr w:rsidR="00B52B30" w:rsidTr="00B52B30">
        <w:trPr>
          <w:trHeight w:val="600"/>
        </w:trPr>
        <w:tc>
          <w:tcPr>
            <w:tcW w:w="2250" w:type="dxa"/>
            <w:tcBorders>
              <w:top w:val="nil"/>
              <w:left w:val="single" w:sz="4" w:space="0" w:color="000000"/>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FF"/>
                <w:u w:val="single"/>
              </w:rPr>
            </w:pPr>
            <w:r>
              <w:rPr>
                <w:rFonts w:ascii="Calibri" w:hAnsi="Calibri"/>
                <w:color w:val="000000"/>
              </w:rPr>
              <w:t>Program Modification</w:t>
            </w:r>
          </w:p>
        </w:tc>
        <w:tc>
          <w:tcPr>
            <w:tcW w:w="2695" w:type="dxa"/>
            <w:tcBorders>
              <w:top w:val="nil"/>
              <w:left w:val="nil"/>
              <w:bottom w:val="single" w:sz="4" w:space="0" w:color="000000"/>
              <w:right w:val="single" w:sz="4" w:space="0" w:color="000000"/>
            </w:tcBorders>
            <w:vAlign w:val="bottom"/>
          </w:tcPr>
          <w:p w:rsidR="00B52B30" w:rsidRDefault="00B52B30">
            <w:pPr>
              <w:rPr>
                <w:rFonts w:ascii="Calibri" w:hAnsi="Calibri"/>
                <w:color w:val="000000"/>
              </w:rPr>
            </w:pPr>
          </w:p>
        </w:tc>
        <w:tc>
          <w:tcPr>
            <w:tcW w:w="4080" w:type="dxa"/>
            <w:tcBorders>
              <w:top w:val="nil"/>
              <w:left w:val="nil"/>
              <w:bottom w:val="single" w:sz="4" w:space="0" w:color="000000"/>
              <w:right w:val="single" w:sz="4" w:space="0" w:color="000000"/>
            </w:tcBorders>
            <w:vAlign w:val="bottom"/>
            <w:hideMark/>
          </w:tcPr>
          <w:p w:rsidR="00B52B30" w:rsidRDefault="00B52B30">
            <w:pPr>
              <w:rPr>
                <w:rFonts w:ascii="Calibri" w:hAnsi="Calibri"/>
                <w:color w:val="000000"/>
              </w:rPr>
            </w:pPr>
            <w:r>
              <w:rPr>
                <w:rFonts w:ascii="Calibri" w:hAnsi="Calibri"/>
                <w:color w:val="000000"/>
              </w:rPr>
              <w:t>Add 566 to electives</w:t>
            </w:r>
          </w:p>
        </w:tc>
      </w:tr>
    </w:tbl>
    <w:p w:rsidR="00B52B30" w:rsidRDefault="00B52B30" w:rsidP="00B52B30"/>
    <w:p w:rsidR="00B52B30" w:rsidRDefault="00B52B30" w:rsidP="00B52B30">
      <w:pPr>
        <w:pStyle w:val="Heading2"/>
      </w:pPr>
      <w:r>
        <w:t xml:space="preserve">College of Humanities and Science </w:t>
      </w:r>
    </w:p>
    <w:tbl>
      <w:tblPr>
        <w:tblW w:w="9000" w:type="dxa"/>
        <w:tblInd w:w="378" w:type="dxa"/>
        <w:tblLook w:val="04A0" w:firstRow="1" w:lastRow="0" w:firstColumn="1" w:lastColumn="0" w:noHBand="0" w:noVBand="1"/>
      </w:tblPr>
      <w:tblGrid>
        <w:gridCol w:w="2160"/>
        <w:gridCol w:w="2785"/>
        <w:gridCol w:w="4055"/>
      </w:tblGrid>
      <w:tr w:rsidR="00B52B30" w:rsidTr="00B52B30">
        <w:trPr>
          <w:trHeight w:val="300"/>
        </w:trPr>
        <w:tc>
          <w:tcPr>
            <w:tcW w:w="9000" w:type="dxa"/>
            <w:gridSpan w:val="3"/>
            <w:tcBorders>
              <w:top w:val="single" w:sz="4" w:space="0" w:color="000000"/>
              <w:left w:val="single" w:sz="4" w:space="0" w:color="000000"/>
              <w:bottom w:val="single" w:sz="4" w:space="0" w:color="000000"/>
              <w:right w:val="single" w:sz="4" w:space="0" w:color="000000"/>
            </w:tcBorders>
            <w:vAlign w:val="center"/>
            <w:hideMark/>
          </w:tcPr>
          <w:p w:rsidR="00B52B30" w:rsidRDefault="00B52B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Environmental Studies</w:t>
            </w:r>
          </w:p>
        </w:tc>
      </w:tr>
      <w:tr w:rsidR="00B52B30" w:rsidTr="00B52B30">
        <w:trPr>
          <w:trHeight w:val="300"/>
        </w:trPr>
        <w:tc>
          <w:tcPr>
            <w:tcW w:w="2160" w:type="dxa"/>
            <w:tcBorders>
              <w:top w:val="nil"/>
              <w:left w:val="single" w:sz="4" w:space="0" w:color="000000"/>
              <w:bottom w:val="single" w:sz="4" w:space="0" w:color="000000"/>
              <w:right w:val="single" w:sz="4" w:space="0" w:color="000000"/>
            </w:tcBorders>
            <w:vAlign w:val="center"/>
            <w:hideMark/>
          </w:tcPr>
          <w:p w:rsidR="00B52B30" w:rsidRDefault="00E964D8">
            <w:pPr>
              <w:rPr>
                <w:sz w:val="24"/>
                <w:szCs w:val="24"/>
              </w:rPr>
            </w:pPr>
            <w:hyperlink r:id="rId8" w:tgtFrame="_blank" w:history="1">
              <w:r w:rsidR="00B52B30">
                <w:rPr>
                  <w:rStyle w:val="Hyperlink"/>
                </w:rPr>
                <w:t>ENST 542 G</w:t>
              </w:r>
            </w:hyperlink>
            <w:r w:rsidR="00B52B30">
              <w:t xml:space="preserve"> </w:t>
            </w:r>
          </w:p>
        </w:tc>
        <w:tc>
          <w:tcPr>
            <w:tcW w:w="2785" w:type="dxa"/>
            <w:tcBorders>
              <w:top w:val="nil"/>
              <w:left w:val="nil"/>
              <w:bottom w:val="single" w:sz="4" w:space="0" w:color="000000"/>
              <w:right w:val="single" w:sz="4" w:space="0" w:color="000000"/>
            </w:tcBorders>
            <w:vAlign w:val="center"/>
            <w:hideMark/>
          </w:tcPr>
          <w:p w:rsidR="00B52B30" w:rsidRDefault="00B52B30">
            <w:pPr>
              <w:rPr>
                <w:sz w:val="24"/>
                <w:szCs w:val="24"/>
              </w:rPr>
            </w:pPr>
            <w:proofErr w:type="spellStart"/>
            <w:r>
              <w:t>Conserv</w:t>
            </w:r>
            <w:proofErr w:type="spellEnd"/>
            <w:r>
              <w:t xml:space="preserve"> wo Borders</w:t>
            </w:r>
          </w:p>
        </w:tc>
        <w:tc>
          <w:tcPr>
            <w:tcW w:w="4055" w:type="dxa"/>
            <w:tcBorders>
              <w:top w:val="nil"/>
              <w:left w:val="nil"/>
              <w:bottom w:val="single" w:sz="4" w:space="0" w:color="000000"/>
              <w:right w:val="single" w:sz="4" w:space="0" w:color="000000"/>
            </w:tcBorders>
            <w:vAlign w:val="center"/>
            <w:hideMark/>
          </w:tcPr>
          <w:p w:rsidR="00B52B30" w:rsidRDefault="00B52B30">
            <w:pPr>
              <w:rPr>
                <w:sz w:val="24"/>
                <w:szCs w:val="24"/>
              </w:rPr>
            </w:pPr>
            <w:r>
              <w:t xml:space="preserve">Change title </w:t>
            </w:r>
          </w:p>
        </w:tc>
      </w:tr>
    </w:tbl>
    <w:p w:rsidR="00B52B30" w:rsidRDefault="00B52B30" w:rsidP="00B52B30"/>
    <w:tbl>
      <w:tblPr>
        <w:tblW w:w="9000" w:type="dxa"/>
        <w:tblInd w:w="378" w:type="dxa"/>
        <w:tblLook w:val="04A0" w:firstRow="1" w:lastRow="0" w:firstColumn="1" w:lastColumn="0" w:noHBand="0" w:noVBand="1"/>
      </w:tblPr>
      <w:tblGrid>
        <w:gridCol w:w="1485"/>
        <w:gridCol w:w="3460"/>
        <w:gridCol w:w="4055"/>
      </w:tblGrid>
      <w:tr w:rsidR="00B52B30" w:rsidTr="00B52B30">
        <w:trPr>
          <w:trHeight w:val="300"/>
        </w:trPr>
        <w:tc>
          <w:tcPr>
            <w:tcW w:w="9000" w:type="dxa"/>
            <w:gridSpan w:val="3"/>
            <w:tcBorders>
              <w:top w:val="single" w:sz="4" w:space="0" w:color="000000"/>
              <w:left w:val="single" w:sz="4" w:space="0" w:color="000000"/>
              <w:bottom w:val="single" w:sz="4" w:space="0" w:color="000000"/>
              <w:right w:val="single" w:sz="4" w:space="0" w:color="000000"/>
            </w:tcBorders>
            <w:vAlign w:val="center"/>
            <w:hideMark/>
          </w:tcPr>
          <w:p w:rsidR="00B52B30" w:rsidRDefault="00B52B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Geography</w:t>
            </w:r>
          </w:p>
        </w:tc>
      </w:tr>
      <w:tr w:rsidR="00B52B30" w:rsidTr="00B52B30">
        <w:trPr>
          <w:trHeight w:val="300"/>
        </w:trPr>
        <w:tc>
          <w:tcPr>
            <w:tcW w:w="1485" w:type="dxa"/>
            <w:tcBorders>
              <w:top w:val="nil"/>
              <w:left w:val="single" w:sz="4" w:space="0" w:color="000000"/>
              <w:bottom w:val="single" w:sz="4" w:space="0" w:color="000000"/>
              <w:right w:val="single" w:sz="4" w:space="0" w:color="000000"/>
            </w:tcBorders>
            <w:vAlign w:val="center"/>
            <w:hideMark/>
          </w:tcPr>
          <w:p w:rsidR="00B52B30" w:rsidRDefault="00E964D8">
            <w:pPr>
              <w:spacing w:after="0" w:line="240" w:lineRule="auto"/>
              <w:rPr>
                <w:rFonts w:ascii="Calibri" w:eastAsia="Times New Roman" w:hAnsi="Calibri" w:cs="Times New Roman"/>
                <w:color w:val="0000FF"/>
                <w:u w:val="single"/>
              </w:rPr>
            </w:pPr>
            <w:hyperlink r:id="rId9" w:history="1">
              <w:r w:rsidR="00B52B30">
                <w:rPr>
                  <w:rStyle w:val="Hyperlink"/>
                  <w:rFonts w:ascii="Calibri" w:hAnsi="Calibri"/>
                </w:rPr>
                <w:t>GPHY 504 G</w:t>
              </w:r>
            </w:hyperlink>
          </w:p>
        </w:tc>
        <w:tc>
          <w:tcPr>
            <w:tcW w:w="3460"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 Design I</w:t>
            </w:r>
          </w:p>
        </w:tc>
        <w:tc>
          <w:tcPr>
            <w:tcW w:w="4055"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 title</w:t>
            </w:r>
          </w:p>
        </w:tc>
      </w:tr>
      <w:tr w:rsidR="00B52B30" w:rsidTr="00B52B30">
        <w:trPr>
          <w:trHeight w:val="300"/>
        </w:trPr>
        <w:tc>
          <w:tcPr>
            <w:tcW w:w="1485" w:type="dxa"/>
            <w:tcBorders>
              <w:top w:val="nil"/>
              <w:left w:val="single" w:sz="4" w:space="0" w:color="000000"/>
              <w:bottom w:val="single" w:sz="4" w:space="0" w:color="000000"/>
              <w:right w:val="single" w:sz="4" w:space="0" w:color="000000"/>
            </w:tcBorders>
            <w:vAlign w:val="center"/>
            <w:hideMark/>
          </w:tcPr>
          <w:p w:rsidR="00B52B30" w:rsidRDefault="00E964D8">
            <w:pPr>
              <w:spacing w:after="0" w:line="240" w:lineRule="auto"/>
              <w:rPr>
                <w:rFonts w:ascii="Calibri" w:eastAsia="Times New Roman" w:hAnsi="Calibri" w:cs="Times New Roman"/>
                <w:color w:val="0000FF"/>
                <w:u w:val="single"/>
              </w:rPr>
            </w:pPr>
            <w:hyperlink r:id="rId10" w:history="1">
              <w:r w:rsidR="00B52B30">
                <w:rPr>
                  <w:rStyle w:val="Hyperlink"/>
                  <w:rFonts w:ascii="Calibri" w:hAnsi="Calibri"/>
                </w:rPr>
                <w:t>GPHY 505 G</w:t>
              </w:r>
            </w:hyperlink>
          </w:p>
        </w:tc>
        <w:tc>
          <w:tcPr>
            <w:tcW w:w="3460"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 Design II</w:t>
            </w:r>
          </w:p>
        </w:tc>
        <w:tc>
          <w:tcPr>
            <w:tcW w:w="4055"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Change title</w:t>
            </w:r>
          </w:p>
        </w:tc>
      </w:tr>
      <w:tr w:rsidR="00B52B30" w:rsidTr="00B52B30">
        <w:trPr>
          <w:trHeight w:val="600"/>
        </w:trPr>
        <w:tc>
          <w:tcPr>
            <w:tcW w:w="1485" w:type="dxa"/>
            <w:tcBorders>
              <w:top w:val="nil"/>
              <w:left w:val="single" w:sz="4" w:space="0" w:color="000000"/>
              <w:bottom w:val="single" w:sz="4" w:space="0" w:color="000000"/>
              <w:right w:val="single" w:sz="4" w:space="0" w:color="000000"/>
            </w:tcBorders>
            <w:vAlign w:val="center"/>
            <w:hideMark/>
          </w:tcPr>
          <w:p w:rsidR="00B52B30" w:rsidRDefault="00E964D8">
            <w:pPr>
              <w:spacing w:after="0" w:line="240" w:lineRule="auto"/>
              <w:rPr>
                <w:rFonts w:ascii="Calibri" w:eastAsia="Times New Roman" w:hAnsi="Calibri" w:cs="Times New Roman"/>
                <w:color w:val="0000FF"/>
                <w:u w:val="single"/>
              </w:rPr>
            </w:pPr>
            <w:hyperlink r:id="rId11" w:history="1">
              <w:r w:rsidR="00B52B30">
                <w:rPr>
                  <w:rStyle w:val="Hyperlink"/>
                  <w:rFonts w:ascii="Calibri" w:hAnsi="Calibri"/>
                </w:rPr>
                <w:t>GPHY 588 G</w:t>
              </w:r>
            </w:hyperlink>
          </w:p>
        </w:tc>
        <w:tc>
          <w:tcPr>
            <w:tcW w:w="3460"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Spatial Analysis and Modeling</w:t>
            </w:r>
          </w:p>
        </w:tc>
        <w:tc>
          <w:tcPr>
            <w:tcW w:w="4055"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 learning outcome, title</w:t>
            </w:r>
          </w:p>
        </w:tc>
      </w:tr>
    </w:tbl>
    <w:p w:rsidR="00B52B30" w:rsidRDefault="00B52B30" w:rsidP="00B52B30"/>
    <w:tbl>
      <w:tblPr>
        <w:tblW w:w="9000" w:type="dxa"/>
        <w:tblInd w:w="378" w:type="dxa"/>
        <w:tblLook w:val="04A0" w:firstRow="1" w:lastRow="0" w:firstColumn="1" w:lastColumn="0" w:noHBand="0" w:noVBand="1"/>
      </w:tblPr>
      <w:tblGrid>
        <w:gridCol w:w="1485"/>
        <w:gridCol w:w="3460"/>
        <w:gridCol w:w="4055"/>
      </w:tblGrid>
      <w:tr w:rsidR="00B52B30" w:rsidTr="00B52B30">
        <w:trPr>
          <w:trHeight w:val="300"/>
        </w:trPr>
        <w:tc>
          <w:tcPr>
            <w:tcW w:w="9000" w:type="dxa"/>
            <w:gridSpan w:val="3"/>
            <w:tcBorders>
              <w:top w:val="single" w:sz="4" w:space="0" w:color="000000"/>
              <w:left w:val="single" w:sz="4" w:space="0" w:color="000000"/>
              <w:bottom w:val="single" w:sz="4" w:space="0" w:color="000000"/>
              <w:right w:val="single" w:sz="4" w:space="0" w:color="000000"/>
            </w:tcBorders>
            <w:vAlign w:val="center"/>
            <w:hideMark/>
          </w:tcPr>
          <w:p w:rsidR="00B52B30" w:rsidRDefault="00B52B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Psychology</w:t>
            </w:r>
          </w:p>
        </w:tc>
      </w:tr>
      <w:tr w:rsidR="00B52B30" w:rsidTr="00B52B30">
        <w:trPr>
          <w:trHeight w:val="300"/>
        </w:trPr>
        <w:tc>
          <w:tcPr>
            <w:tcW w:w="1485" w:type="dxa"/>
            <w:tcBorders>
              <w:top w:val="nil"/>
              <w:left w:val="single" w:sz="4" w:space="0" w:color="000000"/>
              <w:bottom w:val="single" w:sz="4" w:space="0" w:color="000000"/>
              <w:right w:val="single" w:sz="4" w:space="0" w:color="000000"/>
            </w:tcBorders>
            <w:vAlign w:val="center"/>
            <w:hideMark/>
          </w:tcPr>
          <w:p w:rsidR="00B52B30" w:rsidRDefault="00E964D8">
            <w:pPr>
              <w:spacing w:after="0" w:line="240" w:lineRule="auto"/>
              <w:rPr>
                <w:rFonts w:ascii="Calibri" w:eastAsia="Times New Roman" w:hAnsi="Calibri" w:cs="Times New Roman"/>
                <w:color w:val="0000FF"/>
                <w:u w:val="single"/>
              </w:rPr>
            </w:pPr>
            <w:hyperlink r:id="rId12" w:tgtFrame="_blank" w:history="1">
              <w:r w:rsidR="00B52B30">
                <w:rPr>
                  <w:rStyle w:val="Hyperlink"/>
                  <w:rFonts w:ascii="Calibri" w:hAnsi="Calibri"/>
                </w:rPr>
                <w:t>PSYX 604 G</w:t>
              </w:r>
            </w:hyperlink>
          </w:p>
        </w:tc>
        <w:tc>
          <w:tcPr>
            <w:tcW w:w="3460"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Rural Integrated </w:t>
            </w:r>
            <w:proofErr w:type="spellStart"/>
            <w:r>
              <w:rPr>
                <w:rFonts w:ascii="Calibri" w:eastAsia="Times New Roman" w:hAnsi="Calibri" w:cs="Times New Roman"/>
                <w:color w:val="000000"/>
              </w:rPr>
              <w:t>Behav</w:t>
            </w:r>
            <w:proofErr w:type="spellEnd"/>
            <w:r>
              <w:rPr>
                <w:rFonts w:ascii="Calibri" w:eastAsia="Times New Roman" w:hAnsi="Calibri" w:cs="Times New Roman"/>
                <w:color w:val="000000"/>
              </w:rPr>
              <w:t xml:space="preserve"> Health</w:t>
            </w:r>
          </w:p>
        </w:tc>
        <w:tc>
          <w:tcPr>
            <w:tcW w:w="4055" w:type="dxa"/>
            <w:tcBorders>
              <w:top w:val="nil"/>
              <w:left w:val="nil"/>
              <w:bottom w:val="single" w:sz="4" w:space="0" w:color="000000"/>
              <w:right w:val="single" w:sz="4" w:space="0" w:color="000000"/>
            </w:tcBorders>
            <w:vAlign w:val="center"/>
            <w:hideMark/>
          </w:tcPr>
          <w:p w:rsidR="00B52B30" w:rsidRDefault="00B52B30">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bl>
    <w:p w:rsidR="00B52B30" w:rsidRDefault="00B52B30" w:rsidP="00B52B30"/>
    <w:p w:rsidR="0045770D" w:rsidRDefault="007E5E4E" w:rsidP="007E5E4E">
      <w:pPr>
        <w:pStyle w:val="ListParagraph"/>
        <w:numPr>
          <w:ilvl w:val="0"/>
          <w:numId w:val="8"/>
        </w:numPr>
      </w:pPr>
      <w:r>
        <w:t xml:space="preserve">The IIP Admissions Committee is short a member from Science and Professional Schools.  Please help recruit members.  There is an application that needs to be reviewed. </w:t>
      </w:r>
    </w:p>
    <w:p w:rsidR="007E5E4E" w:rsidRPr="00FA27B3" w:rsidRDefault="007E5E4E" w:rsidP="007E5E4E">
      <w:pPr>
        <w:pStyle w:val="ListParagraph"/>
        <w:numPr>
          <w:ilvl w:val="0"/>
          <w:numId w:val="8"/>
        </w:numPr>
      </w:pPr>
      <w:r>
        <w:lastRenderedPageBreak/>
        <w:t xml:space="preserve">VP Whittenburg is concerned about the amount of bureaucracy involved with administering the IIP and was wondering whether some of the functions could be absorbed by the Council.  The IIP Oversight Committee is made up of Graduate Council </w:t>
      </w:r>
      <w:bookmarkStart w:id="0" w:name="_GoBack"/>
      <w:bookmarkEnd w:id="0"/>
      <w:r w:rsidR="00E964D8">
        <w:t xml:space="preserve">members from Ph.D.  </w:t>
      </w:r>
      <w:proofErr w:type="gramStart"/>
      <w:r w:rsidR="00E964D8">
        <w:t>granting</w:t>
      </w:r>
      <w:proofErr w:type="gramEnd"/>
      <w:r w:rsidR="00E964D8">
        <w:t xml:space="preserve"> programs.</w:t>
      </w:r>
      <w:r>
        <w:t xml:space="preserve">  Its primary responsibility is to review the annual report that is created by the Graduate School.  In the past there have been concerns about the quality so the Oversight Committee was established to have an appeal function if necessary.  </w:t>
      </w:r>
    </w:p>
    <w:p w:rsidR="00B52B30" w:rsidRDefault="00B52B30" w:rsidP="005237C5">
      <w:pPr>
        <w:pStyle w:val="Heading2"/>
      </w:pPr>
      <w:r>
        <w:t>Good and Welfare</w:t>
      </w:r>
    </w:p>
    <w:p w:rsidR="00B52B30" w:rsidRDefault="00B52B30" w:rsidP="00B52B30">
      <w:pPr>
        <w:pStyle w:val="ListParagraph"/>
        <w:numPr>
          <w:ilvl w:val="0"/>
          <w:numId w:val="8"/>
        </w:numPr>
      </w:pPr>
      <w:r>
        <w:t xml:space="preserve">The Council will not be reviewing Bertha Morton materials until March.  It may not be necessary to meet if there are not enough items for the agenda.  Next week the Council will discuss the current UG and Co-convening practices.  Camie will send links to the current procedures.  </w:t>
      </w:r>
      <w:r>
        <w:br/>
      </w:r>
    </w:p>
    <w:p w:rsidR="00B52B30" w:rsidRPr="00B52B30" w:rsidRDefault="00B52B30" w:rsidP="00B52B30">
      <w:pPr>
        <w:pStyle w:val="ListParagraph"/>
        <w:numPr>
          <w:ilvl w:val="0"/>
          <w:numId w:val="8"/>
        </w:numPr>
      </w:pPr>
      <w:r>
        <w:t xml:space="preserve">VP Whittenburg is unaware of any changes to TA funding. </w:t>
      </w:r>
      <w:r>
        <w:br/>
      </w:r>
    </w:p>
    <w:p w:rsidR="00B52B30" w:rsidRPr="00B52B30" w:rsidRDefault="00B52B30" w:rsidP="00B52B30">
      <w:pPr>
        <w:pStyle w:val="ListParagraph"/>
        <w:numPr>
          <w:ilvl w:val="0"/>
          <w:numId w:val="8"/>
        </w:numPr>
      </w:pPr>
      <w:r>
        <w:t>Professor Ross, in his capacity as Graduate Council co-Chair was invited to last week’s ECOS meeting to discuss the possibility of shared governance leading program participation.  Representatives from the UFA, ASUM, and Staff Senate were also included.   The Faculty Senate wants to get out in front of this issue and will need volunteers to help do the review.  It will be important that graduate programs be represented. It will likely involve meeting with department chairs to interpret the data.   It would be helpful to meet with Dawn Ressel to address issues of confusion with data interpretation.  One example is that all TA’s are assigned .5 FTE even though they do not actually work half time.  The Academic Unit Data includes a comparator from the Delaware Study noted as NSICP.  Graduate Program Directors should be invited to this meeting along with Interim Provost Edmond. [Dawn Ressel is able to attend the February 15</w:t>
      </w:r>
      <w:r w:rsidRPr="00B52B30">
        <w:rPr>
          <w:vertAlign w:val="superscript"/>
        </w:rPr>
        <w:t>th</w:t>
      </w:r>
      <w:r>
        <w:t xml:space="preserve"> meeting</w:t>
      </w:r>
      <w:proofErr w:type="gramStart"/>
      <w:r>
        <w:t>. ]</w:t>
      </w:r>
      <w:proofErr w:type="gramEnd"/>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97476C" w:rsidRDefault="0097476C" w:rsidP="005237C5"/>
    <w:sectPr w:rsidR="0097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12BF"/>
    <w:multiLevelType w:val="hybridMultilevel"/>
    <w:tmpl w:val="F5DA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D1516"/>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34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mt.edu/winapps/adminfin/eCurr/CourseForm/Index/1592" TargetMode="External"/><Relationship Id="rId12" Type="http://schemas.openxmlformats.org/officeDocument/2006/relationships/hyperlink" Target="https://winapps.umt.edu/winapps/adminfin/eCurr/CourseForm/Index/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585" TargetMode="External"/><Relationship Id="rId11" Type="http://schemas.openxmlformats.org/officeDocument/2006/relationships/hyperlink" Target="https://www.umt.edu/winapps/adminfin/eCurr/CourseForm/Index/665" TargetMode="External"/><Relationship Id="rId5" Type="http://schemas.openxmlformats.org/officeDocument/2006/relationships/webSettings" Target="webSettings.xml"/><Relationship Id="rId10" Type="http://schemas.openxmlformats.org/officeDocument/2006/relationships/hyperlink" Target="https://www.umt.edu/winapps/adminfin/eCurr/CourseForm/Index/1359" TargetMode="External"/><Relationship Id="rId4" Type="http://schemas.openxmlformats.org/officeDocument/2006/relationships/settings" Target="settings.xml"/><Relationship Id="rId9" Type="http://schemas.openxmlformats.org/officeDocument/2006/relationships/hyperlink" Target="https://www.umt.edu/winapps/adminfin/eCurr/CourseForm/Index/13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2017-02-02T05:09:00Z</dcterms:created>
  <dcterms:modified xsi:type="dcterms:W3CDTF">2017-02-07T16:17:00Z</dcterms:modified>
</cp:coreProperties>
</file>